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F35C72" w:rsidRPr="00F35C72">
              <w:rPr>
                <w:b/>
                <w:sz w:val="22"/>
                <w:szCs w:val="22"/>
                <w:lang w:val="en-US"/>
              </w:rPr>
              <w:t>„SĄLYGŲ REKREACINEI ŽVEJYBAI SUDARYMAS BEI GERINIMAS“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ru-RU"/>
              </w:rPr>
            </w:pPr>
            <w:r>
              <w:rPr>
                <w:sz w:val="22"/>
                <w:szCs w:val="22"/>
                <w:lang w:val="en-US"/>
              </w:rPr>
              <w:t>□ – privatus verslas, vykdomas fiz</w:t>
            </w:r>
            <w:r w:rsidR="00C27980">
              <w:rPr>
                <w:sz w:val="22"/>
                <w:szCs w:val="22"/>
                <w:lang w:val="en-US"/>
              </w:rPr>
              <w:t xml:space="preserve">inio </w:t>
            </w:r>
            <w:proofErr w:type="gramStart"/>
            <w:r w:rsidR="00C27980">
              <w:rPr>
                <w:sz w:val="22"/>
                <w:szCs w:val="22"/>
                <w:lang w:val="en-US"/>
              </w:rPr>
              <w:t>asmens</w:t>
            </w:r>
            <w:r w:rsidR="00822D69">
              <w:rPr>
                <w:sz w:val="22"/>
                <w:szCs w:val="22"/>
                <w:lang w:val="ru-RU"/>
              </w:rPr>
              <w:t xml:space="preserve"> </w:t>
            </w:r>
            <w:r w:rsidR="00C27980">
              <w:rPr>
                <w:sz w:val="22"/>
                <w:szCs w:val="22"/>
                <w:lang w:val="en-US"/>
              </w:rPr>
              <w:t>.</w:t>
            </w:r>
            <w:proofErr w:type="gramEnd"/>
          </w:p>
          <w:p w:rsidR="00822D69" w:rsidRPr="00822D69" w:rsidRDefault="00822D69">
            <w:pPr>
              <w:tabs>
                <w:tab w:val="left" w:pos="3555"/>
              </w:tabs>
              <w:rPr>
                <w:sz w:val="22"/>
                <w:szCs w:val="22"/>
                <w:lang w:val="ru-RU"/>
              </w:rPr>
            </w:pPr>
            <w:r>
              <w:rPr>
                <w:sz w:val="22"/>
                <w:szCs w:val="22"/>
                <w:lang w:val="en-US"/>
              </w:rPr>
              <w:t>□ – ūkininko vykdomas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rsidP="00113176">
            <w:pPr>
              <w:tabs>
                <w:tab w:val="left" w:pos="3555"/>
              </w:tabs>
              <w:jc w:val="both"/>
              <w:rPr>
                <w:i/>
                <w:sz w:val="22"/>
                <w:szCs w:val="22"/>
                <w:lang w:val="en-US"/>
              </w:rPr>
            </w:pPr>
            <w:r>
              <w:rPr>
                <w:i/>
                <w:sz w:val="22"/>
                <w:szCs w:val="22"/>
                <w:lang w:val="en-US"/>
              </w:rPr>
              <w:t>Apibūdinama planuojama ekonominė veikla, t. y. nurodoma, kokias paslaugas ketinama teikt</w:t>
            </w:r>
            <w:r w:rsidR="00B8640D">
              <w:rPr>
                <w:i/>
                <w:sz w:val="22"/>
                <w:szCs w:val="22"/>
                <w:lang w:val="en-US"/>
              </w:rPr>
              <w:t xml:space="preserve"> </w:t>
            </w:r>
            <w:r>
              <w:rPr>
                <w:i/>
                <w:sz w:val="22"/>
                <w:szCs w:val="22"/>
                <w:lang w:val="en-US"/>
              </w:rPr>
              <w:t>i</w:t>
            </w:r>
            <w:r w:rsidR="00B8640D">
              <w:rPr>
                <w:i/>
                <w:sz w:val="22"/>
                <w:szCs w:val="22"/>
                <w:lang w:val="en-US"/>
              </w:rPr>
              <w:t>r/arba kokia produkcija gaminti</w:t>
            </w:r>
            <w:r>
              <w:rPr>
                <w:i/>
                <w:sz w:val="22"/>
                <w:szCs w:val="22"/>
                <w:lang w:val="en-US"/>
              </w:rPr>
              <w:t>. Apibūdinamas teikiamų paslaugų</w:t>
            </w:r>
            <w:r w:rsidR="00B8640D">
              <w:rPr>
                <w:i/>
                <w:sz w:val="22"/>
                <w:szCs w:val="22"/>
                <w:lang w:val="en-US"/>
              </w:rPr>
              <w:t>/produkcijos</w:t>
            </w:r>
            <w:r>
              <w:rPr>
                <w:i/>
                <w:sz w:val="22"/>
                <w:szCs w:val="22"/>
                <w:lang w:val="en-US"/>
              </w:rPr>
              <w:t xml:space="preserve">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Pr="007A3156" w:rsidRDefault="00D00B2B">
            <w:pPr>
              <w:tabs>
                <w:tab w:val="left" w:pos="3555"/>
              </w:tabs>
              <w:rPr>
                <w:sz w:val="22"/>
                <w:szCs w:val="22"/>
                <w:lang w:val="ru-RU"/>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xml:space="preserve">□ – mažoji </w:t>
            </w:r>
            <w:r w:rsidRPr="00320E55">
              <w:rPr>
                <w:sz w:val="22"/>
                <w:szCs w:val="22"/>
                <w:lang w:val="en-US"/>
              </w:rPr>
              <w:t>bendrija</w:t>
            </w:r>
            <w:r w:rsidRPr="00320E55">
              <w:rPr>
                <w:i/>
                <w:sz w:val="22"/>
                <w:szCs w:val="22"/>
                <w:lang w:val="en-US"/>
              </w:rPr>
              <w:t>;</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ru-RU"/>
              </w:rPr>
            </w:pPr>
            <w:r>
              <w:rPr>
                <w:sz w:val="22"/>
                <w:szCs w:val="22"/>
                <w:lang w:val="en-US"/>
              </w:rPr>
              <w:t>□ – fizinis asmuo, veikiantis pagal individualios veiklos pažymą;</w:t>
            </w:r>
          </w:p>
          <w:p w:rsidR="007A3156" w:rsidRPr="00071312" w:rsidRDefault="007A3156">
            <w:pPr>
              <w:autoSpaceDN w:val="0"/>
              <w:rPr>
                <w:sz w:val="22"/>
                <w:szCs w:val="22"/>
                <w:lang w:val="ru-RU"/>
              </w:rPr>
            </w:pPr>
            <w:r>
              <w:rPr>
                <w:sz w:val="22"/>
                <w:szCs w:val="22"/>
                <w:lang w:val="en-US"/>
              </w:rPr>
              <w:t>□</w:t>
            </w:r>
            <w:r>
              <w:rPr>
                <w:sz w:val="22"/>
                <w:szCs w:val="22"/>
                <w:lang w:val="ru-RU"/>
              </w:rPr>
              <w:t xml:space="preserve"> – </w:t>
            </w:r>
            <w:r>
              <w:rPr>
                <w:sz w:val="22"/>
                <w:szCs w:val="22"/>
              </w:rPr>
              <w:t>ūkininkas;</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lastRenderedPageBreak/>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Nurodoma, su kokiais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Paaiškinama, ar verslo plane numatytų teikti paslaugų</w:t>
            </w:r>
            <w:r w:rsidR="00666CEE">
              <w:rPr>
                <w:i/>
                <w:sz w:val="22"/>
                <w:szCs w:val="22"/>
                <w:lang w:val="en-US"/>
              </w:rPr>
              <w:t xml:space="preserve"> ir (arba) numatytos gaminti produkcijos</w:t>
            </w:r>
            <w:r>
              <w:rPr>
                <w:i/>
                <w:sz w:val="22"/>
                <w:szCs w:val="22"/>
                <w:lang w:val="en-US"/>
              </w:rPr>
              <w:t xml:space="preserve">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teikti paslaugų </w:t>
            </w:r>
            <w:r w:rsidR="00666CEE">
              <w:rPr>
                <w:i/>
                <w:sz w:val="22"/>
                <w:szCs w:val="22"/>
                <w:lang w:val="en-US"/>
              </w:rPr>
              <w:t xml:space="preserve">ir (arba) numatytos gaminti produkcijos </w:t>
            </w:r>
            <w:r>
              <w:rPr>
                <w:i/>
                <w:sz w:val="22"/>
                <w:szCs w:val="22"/>
                <w:lang w:val="en-US"/>
              </w:rPr>
              <w:t>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teikiamos paslaugos</w:t>
            </w:r>
            <w:r w:rsidR="00B06D4A">
              <w:rPr>
                <w:i/>
                <w:sz w:val="22"/>
                <w:szCs w:val="22"/>
                <w:lang w:val="en-US"/>
              </w:rPr>
              <w:t xml:space="preserve"> ir (arba) gaminamos produkcijos</w:t>
            </w:r>
            <w:r>
              <w:rPr>
                <w:i/>
                <w:sz w:val="22"/>
                <w:szCs w:val="22"/>
                <w:lang w:val="en-US"/>
              </w:rPr>
              <w:t xml:space="preserve"> 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DF4C05">
            <w:pPr>
              <w:tabs>
                <w:tab w:val="left" w:pos="3555"/>
              </w:tabs>
              <w:rPr>
                <w:b/>
                <w:sz w:val="22"/>
                <w:szCs w:val="22"/>
                <w:lang w:val="en-US"/>
              </w:rPr>
            </w:pPr>
            <w:r>
              <w:rPr>
                <w:b/>
                <w:sz w:val="22"/>
                <w:szCs w:val="22"/>
                <w:lang w:val="en-US"/>
              </w:rPr>
              <w:t xml:space="preserve">Planuojamų teikti paslaugų </w:t>
            </w:r>
            <w:r w:rsidR="00B06D4A">
              <w:rPr>
                <w:b/>
                <w:sz w:val="22"/>
                <w:szCs w:val="22"/>
                <w:lang w:val="en-US"/>
              </w:rPr>
              <w:t xml:space="preserve">ir (arba) planuojamos gaminti produkcijos </w:t>
            </w:r>
            <w:r>
              <w:rPr>
                <w:b/>
                <w:sz w:val="22"/>
                <w:szCs w:val="22"/>
                <w:lang w:val="en-US"/>
              </w:rPr>
              <w:t>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DF4C05">
            <w:pPr>
              <w:tabs>
                <w:tab w:val="left" w:pos="3555"/>
              </w:tabs>
              <w:jc w:val="both"/>
              <w:rPr>
                <w:b/>
                <w:sz w:val="22"/>
                <w:szCs w:val="22"/>
                <w:lang w:val="en-US"/>
              </w:rPr>
            </w:pPr>
            <w:r>
              <w:rPr>
                <w:i/>
                <w:sz w:val="22"/>
                <w:szCs w:val="22"/>
                <w:lang w:val="en-US"/>
              </w:rPr>
              <w:t>Paaiškinama, kokių imsis priemonių vietos projekto vykdytojas, kad jo verslo plane numatytų teikti paslaugų</w:t>
            </w:r>
            <w:r w:rsidR="00B06D4A">
              <w:rPr>
                <w:i/>
                <w:sz w:val="22"/>
                <w:szCs w:val="22"/>
                <w:lang w:val="en-US"/>
              </w:rPr>
              <w:t>/numatytos gaminti produkcijos</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w:t>
            </w:r>
            <w:r w:rsidR="00B06D4A">
              <w:rPr>
                <w:i/>
                <w:sz w:val="22"/>
                <w:szCs w:val="22"/>
                <w:lang w:val="en-US"/>
              </w:rPr>
              <w:t>/numatytos gaminti produkcijos</w:t>
            </w:r>
            <w:r>
              <w:rPr>
                <w:i/>
                <w:sz w:val="22"/>
                <w:szCs w:val="22"/>
                <w:lang w:val="en-US"/>
              </w:rPr>
              <w:t xml:space="preserve"> paklausą didins teikiamų paslaugų</w:t>
            </w:r>
            <w:r w:rsidR="00B06D4A">
              <w:rPr>
                <w:i/>
                <w:sz w:val="22"/>
                <w:szCs w:val="22"/>
                <w:lang w:val="en-US"/>
              </w:rPr>
              <w:t>/gaminamos produkcijos</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Pagrindinės verslo tikslinės grupės – potencialių klientų vidutinės mėnesinės pajamos, atsižvelgiant į planuojamų teikti paslaugų</w:t>
            </w:r>
            <w:r w:rsidR="00B06D4A">
              <w:rPr>
                <w:sz w:val="22"/>
                <w:szCs w:val="22"/>
                <w:lang w:val="en-US"/>
              </w:rPr>
              <w:t xml:space="preserve"> ir (arba) </w:t>
            </w:r>
            <w:r w:rsidR="00B06D4A">
              <w:rPr>
                <w:sz w:val="22"/>
                <w:szCs w:val="22"/>
              </w:rPr>
              <w:t xml:space="preserve">į </w:t>
            </w:r>
            <w:r w:rsidR="00B06D4A">
              <w:rPr>
                <w:sz w:val="22"/>
                <w:szCs w:val="22"/>
                <w:lang w:val="en-US"/>
              </w:rPr>
              <w:t xml:space="preserve">planuojamos gaminti produkcijos </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E15B51">
            <w:pPr>
              <w:tabs>
                <w:tab w:val="left" w:pos="3555"/>
              </w:tabs>
              <w:jc w:val="both"/>
              <w:rPr>
                <w:sz w:val="22"/>
                <w:szCs w:val="22"/>
                <w:lang w:val="en-US"/>
              </w:rPr>
            </w:pPr>
            <w:r>
              <w:rPr>
                <w:sz w:val="22"/>
                <w:szCs w:val="22"/>
                <w:lang w:val="en-US"/>
              </w:rPr>
              <w:t>Planuojamų teikti paslaugų</w:t>
            </w:r>
            <w:r w:rsidR="00B06D4A">
              <w:rPr>
                <w:sz w:val="22"/>
                <w:szCs w:val="22"/>
                <w:lang w:val="en-US"/>
              </w:rPr>
              <w:t xml:space="preserve"> ir (arba) planuojamos gaminti produkcijos</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E15B51">
            <w:pPr>
              <w:tabs>
                <w:tab w:val="left" w:pos="3555"/>
              </w:tabs>
              <w:rPr>
                <w:b/>
                <w:sz w:val="22"/>
                <w:szCs w:val="22"/>
                <w:lang w:val="en-US"/>
              </w:rPr>
            </w:pPr>
            <w:r>
              <w:rPr>
                <w:b/>
                <w:sz w:val="22"/>
                <w:szCs w:val="22"/>
                <w:lang w:val="en-US"/>
              </w:rPr>
              <w:t>P</w:t>
            </w:r>
            <w:r w:rsidR="00D00B2B">
              <w:rPr>
                <w:b/>
                <w:sz w:val="22"/>
                <w:szCs w:val="22"/>
                <w:lang w:val="en-US"/>
              </w:rPr>
              <w:t>lanuojamų teikti paslaugų</w:t>
            </w:r>
            <w:r w:rsidR="00E93F81">
              <w:rPr>
                <w:b/>
                <w:sz w:val="22"/>
                <w:szCs w:val="22"/>
                <w:lang w:val="en-US"/>
              </w:rPr>
              <w:t xml:space="preserve"> ir (arba) planuojamos gaminti produkcijos</w:t>
            </w:r>
            <w:r w:rsidR="00D00B2B">
              <w:rPr>
                <w:b/>
                <w:sz w:val="22"/>
                <w:szCs w:val="22"/>
                <w:lang w:val="en-US"/>
              </w:rPr>
              <w:t xml:space="preserve"> </w:t>
            </w:r>
            <w:r w:rsidR="00014031" w:rsidRPr="00014031">
              <w:rPr>
                <w:b/>
                <w:sz w:val="22"/>
                <w:szCs w:val="22"/>
                <w:lang w:val="en-US"/>
              </w:rPr>
              <w:t>pardavimo būdai ir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jc w:val="both"/>
              <w:rPr>
                <w:i/>
                <w:sz w:val="22"/>
                <w:szCs w:val="22"/>
                <w:lang w:val="en-US"/>
              </w:rPr>
            </w:pPr>
            <w:r>
              <w:rPr>
                <w:i/>
                <w:sz w:val="22"/>
                <w:szCs w:val="22"/>
                <w:lang w:val="en-US"/>
              </w:rPr>
              <w:t xml:space="preserve">Nurodoma, kokie numatomi pardavimo būdai ir vietos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E15B51">
            <w:pPr>
              <w:tabs>
                <w:tab w:val="left" w:pos="3555"/>
              </w:tabs>
              <w:rPr>
                <w:b/>
                <w:sz w:val="22"/>
                <w:szCs w:val="22"/>
                <w:lang w:val="en-US"/>
              </w:rPr>
            </w:pPr>
            <w:r>
              <w:rPr>
                <w:b/>
                <w:sz w:val="22"/>
                <w:szCs w:val="22"/>
                <w:lang w:val="en-US"/>
              </w:rPr>
              <w:t xml:space="preserve">Planuojamų teikti paslaugų </w:t>
            </w:r>
            <w:r w:rsidR="00E93F81">
              <w:rPr>
                <w:b/>
                <w:sz w:val="22"/>
                <w:szCs w:val="22"/>
                <w:lang w:val="en-US"/>
              </w:rPr>
              <w:t xml:space="preserve">ir (arba) planuojamos gaminti produkcijos </w:t>
            </w:r>
            <w:r>
              <w:rPr>
                <w:b/>
                <w:sz w:val="22"/>
                <w:szCs w:val="22"/>
                <w:lang w:val="en-US"/>
              </w:rPr>
              <w:t>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E93F81">
            <w:pPr>
              <w:tabs>
                <w:tab w:val="left" w:pos="3555"/>
              </w:tabs>
              <w:rPr>
                <w:i/>
                <w:sz w:val="22"/>
                <w:szCs w:val="22"/>
                <w:lang w:val="en-US"/>
              </w:rPr>
            </w:pPr>
            <w:r>
              <w:rPr>
                <w:i/>
                <w:sz w:val="22"/>
                <w:szCs w:val="22"/>
                <w:lang w:val="en-US"/>
              </w:rPr>
              <w:t>Nurodoma, kokios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Teikiamos ir planuojamos teikti paslaugos</w:t>
            </w:r>
          </w:p>
          <w:p w:rsidR="00AF7F7F" w:rsidRDefault="00AF7F7F" w:rsidP="00AF7F7F">
            <w:pPr>
              <w:tabs>
                <w:tab w:val="left" w:pos="3555"/>
              </w:tabs>
              <w:jc w:val="both"/>
              <w:rPr>
                <w:rFonts w:eastAsia="Calibri"/>
                <w:b/>
                <w:sz w:val="22"/>
                <w:szCs w:val="22"/>
                <w:lang w:eastAsia="lt-LT"/>
              </w:rPr>
            </w:pPr>
            <w:r>
              <w:rPr>
                <w:i/>
                <w:sz w:val="22"/>
                <w:szCs w:val="22"/>
                <w:lang w:eastAsia="lt-LT"/>
              </w:rPr>
              <w:t>Jeigu pareiškėjas numato teikti kelių rūšių paslaugas</w:t>
            </w:r>
            <w:r w:rsidR="00696117">
              <w:rPr>
                <w:i/>
                <w:sz w:val="22"/>
                <w:szCs w:val="22"/>
                <w:lang w:eastAsia="lt-LT"/>
              </w:rPr>
              <w:t>/gaminti kelių rūšių produkcija</w:t>
            </w:r>
            <w:r>
              <w:rPr>
                <w:i/>
                <w:sz w:val="22"/>
                <w:szCs w:val="22"/>
                <w:lang w:eastAsia="lt-LT"/>
              </w:rPr>
              <w:t>, šios verslo plano eilutės kiekvienai paslaugai</w:t>
            </w:r>
            <w:r w:rsidR="00696117">
              <w:rPr>
                <w:i/>
                <w:sz w:val="22"/>
                <w:szCs w:val="22"/>
                <w:lang w:eastAsia="lt-LT"/>
              </w:rPr>
              <w:t>/gaminiui</w:t>
            </w:r>
            <w:r>
              <w:rPr>
                <w:i/>
                <w:sz w:val="22"/>
                <w:szCs w:val="22"/>
                <w:lang w:eastAsia="lt-LT"/>
              </w:rPr>
              <w:t xml:space="preserve"> pildomos atskirai, t. y. verslo plano forma atitinkamai turi būti papildoma naujomis eilutėmis. </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Parduota paslaugų</w:t>
            </w:r>
            <w:r w:rsidR="00696117">
              <w:rPr>
                <w:b/>
                <w:sz w:val="22"/>
                <w:szCs w:val="22"/>
                <w:lang w:eastAsia="lt-LT"/>
              </w:rPr>
              <w:t>/gaminių</w:t>
            </w:r>
            <w:r>
              <w:rPr>
                <w:b/>
                <w:sz w:val="22"/>
                <w:szCs w:val="22"/>
                <w:lang w:eastAsia="lt-LT"/>
              </w:rPr>
              <w:t xml:space="preserve"> [...&gt; (EVRK kodas [...&gt;)</w:t>
            </w:r>
          </w:p>
          <w:p w:rsidR="00AF7F7F" w:rsidRDefault="00AF7F7F" w:rsidP="00AF7F7F">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w:t>
            </w:r>
            <w:r w:rsidR="00696117">
              <w:rPr>
                <w:i/>
                <w:sz w:val="22"/>
                <w:szCs w:val="22"/>
                <w:lang w:eastAsia="lt-LT"/>
              </w:rPr>
              <w:t>/kokia produkcija gaminama</w:t>
            </w:r>
            <w:r>
              <w:rPr>
                <w:i/>
                <w:sz w:val="22"/>
                <w:szCs w:val="22"/>
                <w:lang w:eastAsia="lt-LT"/>
              </w:rPr>
              <w:t>,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b/>
                <w:sz w:val="22"/>
                <w:szCs w:val="22"/>
                <w:lang w:eastAsia="lt-LT"/>
              </w:rPr>
            </w:pPr>
            <w:r>
              <w:rPr>
                <w:b/>
                <w:sz w:val="22"/>
                <w:szCs w:val="22"/>
                <w:lang w:eastAsia="lt-LT"/>
              </w:rPr>
              <w:t>Parduotos paslaugos</w:t>
            </w:r>
            <w:r w:rsidR="00696117">
              <w:rPr>
                <w:b/>
                <w:sz w:val="22"/>
                <w:szCs w:val="22"/>
                <w:lang w:eastAsia="lt-LT"/>
              </w:rPr>
              <w:t>/gaminio</w:t>
            </w:r>
            <w:r>
              <w:rPr>
                <w:b/>
                <w:sz w:val="22"/>
                <w:szCs w:val="22"/>
                <w:lang w:eastAsia="lt-LT"/>
              </w:rPr>
              <w:t xml:space="preserve"> vidutinis įkainis (Eur už mato vnt.) </w:t>
            </w:r>
          </w:p>
          <w:p w:rsidR="00AF7F7F" w:rsidRDefault="00AF7F7F" w:rsidP="00AF7F7F">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696117" w:rsidP="00AF7F7F">
            <w:pPr>
              <w:tabs>
                <w:tab w:val="left" w:pos="3555"/>
              </w:tabs>
              <w:rPr>
                <w:rFonts w:eastAsia="Calibri"/>
                <w:b/>
                <w:sz w:val="22"/>
                <w:szCs w:val="22"/>
                <w:lang w:eastAsia="lt-LT"/>
              </w:rPr>
            </w:pPr>
            <w:r>
              <w:rPr>
                <w:sz w:val="22"/>
                <w:szCs w:val="22"/>
                <w:lang w:eastAsia="lt-LT"/>
              </w:rPr>
              <w:t xml:space="preserve">Suteiktų paslaugų/pagamintos produkcijos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7A3156">
              <w:rPr>
                <w:i/>
                <w:sz w:val="22"/>
                <w:szCs w:val="22"/>
                <w:lang w:val="ru-RU" w:eastAsia="lt-LT"/>
              </w:rPr>
              <w:t xml:space="preserve"> </w:t>
            </w:r>
            <w:r w:rsidR="007A3156">
              <w:rPr>
                <w:i/>
                <w:sz w:val="22"/>
                <w:szCs w:val="22"/>
                <w:lang w:eastAsia="lt-LT"/>
              </w:rPr>
              <w:t>(</w:t>
            </w:r>
            <w:r w:rsidR="007A3156">
              <w:rPr>
                <w:i/>
                <w:sz w:val="22"/>
                <w:szCs w:val="22"/>
                <w:lang w:val="ru-RU" w:eastAsia="lt-LT"/>
              </w:rPr>
              <w:t>2020</w:t>
            </w:r>
            <w:r w:rsidR="007A3156">
              <w:rPr>
                <w:i/>
                <w:sz w:val="22"/>
                <w:szCs w:val="22"/>
                <w:lang w:val="en-US" w:eastAsia="lt-LT"/>
              </w:rPr>
              <w:t xml:space="preserve"> m. </w:t>
            </w:r>
            <w:proofErr w:type="gramStart"/>
            <w:r w:rsidR="007A3156">
              <w:rPr>
                <w:i/>
                <w:sz w:val="22"/>
                <w:szCs w:val="22"/>
                <w:lang w:val="en-US" w:eastAsia="lt-LT"/>
              </w:rPr>
              <w:t>gegužės</w:t>
            </w:r>
            <w:proofErr w:type="gramEnd"/>
            <w:r w:rsidR="007A3156">
              <w:rPr>
                <w:i/>
                <w:sz w:val="22"/>
                <w:szCs w:val="22"/>
                <w:lang w:val="en-US" w:eastAsia="lt-LT"/>
              </w:rPr>
              <w:t xml:space="preserve"> </w:t>
            </w:r>
            <w:r w:rsidR="007A3156">
              <w:rPr>
                <w:i/>
                <w:sz w:val="22"/>
                <w:szCs w:val="22"/>
                <w:lang w:val="ru-RU" w:eastAsia="lt-LT"/>
              </w:rPr>
              <w:t xml:space="preserve">22 </w:t>
            </w:r>
            <w:r w:rsidR="007A3156">
              <w:rPr>
                <w:i/>
                <w:sz w:val="22"/>
                <w:szCs w:val="22"/>
                <w:lang w:val="en-US" w:eastAsia="lt-LT"/>
              </w:rPr>
              <w:t>d. įsakymo Nr. 3D-394 redakcija)</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Default="00100515" w:rsidP="004C6EFE">
            <w:pPr>
              <w:widowControl w:val="0"/>
              <w:rPr>
                <w:sz w:val="22"/>
                <w:szCs w:val="22"/>
              </w:rPr>
            </w:pPr>
            <w:r w:rsidRPr="00100515">
              <w:rPr>
                <w:b/>
                <w:sz w:val="22"/>
                <w:szCs w:val="22"/>
              </w:rPr>
              <w:t>6.3.</w:t>
            </w:r>
            <w:r>
              <w:rPr>
                <w:sz w:val="22"/>
                <w:szCs w:val="22"/>
              </w:rPr>
              <w:t xml:space="preserve"> </w:t>
            </w:r>
            <w:r>
              <w:rPr>
                <w:b/>
                <w:sz w:val="22"/>
                <w:szCs w:val="22"/>
              </w:rPr>
              <w:t>Pinigų srautų prognozės</w:t>
            </w: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CA342C" w:rsidRDefault="00CA342C">
      <w:pPr>
        <w:jc w:val="both"/>
        <w:rPr>
          <w:b/>
          <w:sz w:val="22"/>
          <w:szCs w:val="22"/>
        </w:r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626F2D" w:rsidRPr="00EF4A3A" w:rsidTr="001B2EEF">
        <w:tc>
          <w:tcPr>
            <w:tcW w:w="840"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8.</w:t>
            </w:r>
          </w:p>
        </w:tc>
        <w:tc>
          <w:tcPr>
            <w:tcW w:w="8799" w:type="dxa"/>
            <w:gridSpan w:val="5"/>
            <w:tcBorders>
              <w:top w:val="single" w:sz="8" w:space="0" w:color="auto"/>
              <w:left w:val="nil"/>
              <w:bottom w:val="single" w:sz="8" w:space="0" w:color="auto"/>
              <w:right w:val="single" w:sz="8" w:space="0" w:color="auto"/>
            </w:tcBorders>
            <w:shd w:val="clear" w:color="auto" w:fill="95B3D7" w:themeFill="accent1" w:themeFillTint="99"/>
            <w:hideMark/>
          </w:tcPr>
          <w:p w:rsidR="00626F2D" w:rsidRPr="00EF4A3A" w:rsidRDefault="00626F2D" w:rsidP="001B2EEF">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626F2D" w:rsidRPr="00EF4A3A" w:rsidRDefault="00626F2D" w:rsidP="001B2EEF">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w:t>
            </w:r>
          </w:p>
        </w:tc>
        <w:tc>
          <w:tcPr>
            <w:tcW w:w="30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V</w:t>
            </w:r>
          </w:p>
        </w:tc>
        <w:tc>
          <w:tcPr>
            <w:tcW w:w="153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VI</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3069"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Investicija</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Investicijų suma, Eur (su PVM)</w:t>
            </w:r>
          </w:p>
        </w:tc>
        <w:tc>
          <w:tcPr>
            <w:tcW w:w="1537" w:type="dxa"/>
            <w:tcBorders>
              <w:top w:val="nil"/>
              <w:left w:val="nil"/>
              <w:bottom w:val="single" w:sz="8" w:space="0" w:color="000000"/>
              <w:right w:val="single" w:sz="8" w:space="0" w:color="000000"/>
            </w:tcBorders>
            <w:shd w:val="clear" w:color="auto" w:fill="B8CCE4" w:themeFill="accent1" w:themeFillTint="66"/>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Paramos suma, Eur</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w:t>
            </w:r>
          </w:p>
        </w:tc>
        <w:tc>
          <w:tcPr>
            <w:tcW w:w="8799"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I etapas</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41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xml:space="preserve">I etapo paramos išmokėjimas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8.1.4.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both"/>
              <w:rPr>
                <w:szCs w:val="24"/>
                <w:lang w:eastAsia="lt-LT"/>
              </w:rPr>
            </w:pPr>
            <w:r w:rsidRPr="00EF4A3A">
              <w:rPr>
                <w:lang w:eastAsia="lt-LT"/>
              </w:rPr>
              <w:t>I etapo finansavimo šaltinis: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Paramos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Paskola/ finansinė nuoma (lizingas):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Kita (įrašykite):</w:t>
            </w:r>
          </w:p>
        </w:tc>
      </w:tr>
      <w:tr w:rsidR="00626F2D" w:rsidRPr="00EF4A3A" w:rsidTr="001B2EEF">
        <w:tc>
          <w:tcPr>
            <w:tcW w:w="840"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w:t>
            </w:r>
          </w:p>
        </w:tc>
        <w:tc>
          <w:tcPr>
            <w:tcW w:w="8799"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&lt;...&gt; etapas</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Išvardykite investicijas:</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8.2.1.1.</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&lt;...&gt;</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8.2.2.</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Iš viso investicijų:</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53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8.2.3.</w:t>
            </w:r>
          </w:p>
        </w:tc>
        <w:tc>
          <w:tcPr>
            <w:tcW w:w="3069" w:type="dxa"/>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r w:rsidRPr="00EF4A3A">
              <w:rPr>
                <w:lang w:eastAsia="lt-LT"/>
              </w:rPr>
              <w:t xml:space="preserve">II etapo paramos išmokėjimas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5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26F2D" w:rsidRPr="00EF4A3A" w:rsidRDefault="00626F2D" w:rsidP="001B2EEF">
            <w:pPr>
              <w:spacing w:before="100" w:beforeAutospacing="1" w:after="100" w:afterAutospacing="1"/>
              <w:contextualSpacing/>
              <w:jc w:val="center"/>
              <w:rPr>
                <w:szCs w:val="24"/>
                <w:lang w:eastAsia="lt-LT"/>
              </w:rPr>
            </w:pPr>
            <w:r w:rsidRPr="00EF4A3A">
              <w:rPr>
                <w:b/>
                <w:bCs/>
                <w:lang w:eastAsia="lt-LT"/>
              </w:rPr>
              <w:t> </w:t>
            </w:r>
          </w:p>
        </w:tc>
      </w:tr>
      <w:tr w:rsidR="00626F2D" w:rsidRPr="00EF4A3A" w:rsidTr="001B2EEF">
        <w:tc>
          <w:tcPr>
            <w:tcW w:w="8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8.2.4.</w:t>
            </w:r>
          </w:p>
        </w:tc>
        <w:tc>
          <w:tcPr>
            <w:tcW w:w="8799"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both"/>
              <w:rPr>
                <w:szCs w:val="24"/>
                <w:lang w:eastAsia="lt-LT"/>
              </w:rPr>
            </w:pPr>
            <w:r w:rsidRPr="00EF4A3A">
              <w:rPr>
                <w:lang w:eastAsia="lt-LT"/>
              </w:rPr>
              <w:t>&lt;...&gt; etapo finansavimo šaltinis: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Paramos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Susigrąžintas PVM:</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Paskola / finansinė nuoma (lizingas):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626F2D" w:rsidRPr="00EF4A3A" w:rsidRDefault="00626F2D" w:rsidP="001B2EEF">
            <w:pPr>
              <w:spacing w:before="100" w:beforeAutospacing="1" w:after="100" w:afterAutospacing="1"/>
              <w:contextualSpacing/>
              <w:jc w:val="both"/>
              <w:rPr>
                <w:szCs w:val="24"/>
                <w:lang w:eastAsia="lt-LT"/>
              </w:rPr>
            </w:pPr>
            <w:r w:rsidRPr="00EF4A3A">
              <w:rPr>
                <w:lang w:eastAsia="lt-LT"/>
              </w:rPr>
              <w:t>Kita (įrašykite):</w:t>
            </w:r>
          </w:p>
        </w:tc>
      </w:tr>
      <w:tr w:rsidR="00626F2D" w:rsidRPr="00EF4A3A" w:rsidTr="001B2EEF">
        <w:tc>
          <w:tcPr>
            <w:tcW w:w="840" w:type="dxa"/>
            <w:tcBorders>
              <w:top w:val="nil"/>
              <w:left w:val="single" w:sz="8" w:space="0" w:color="000000"/>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ind w:left="-108"/>
              <w:contextualSpacing/>
              <w:rPr>
                <w:szCs w:val="24"/>
                <w:lang w:eastAsia="lt-LT"/>
              </w:rPr>
            </w:pPr>
            <w:r w:rsidRPr="00EF4A3A">
              <w:rPr>
                <w:lang w:eastAsia="lt-LT"/>
              </w:rPr>
              <w:t> </w:t>
            </w:r>
          </w:p>
        </w:tc>
        <w:tc>
          <w:tcPr>
            <w:tcW w:w="3069"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right"/>
              <w:rPr>
                <w:szCs w:val="24"/>
                <w:lang w:eastAsia="lt-LT"/>
              </w:rPr>
            </w:pPr>
            <w:r w:rsidRPr="00EF4A3A">
              <w:rPr>
                <w:b/>
                <w:bCs/>
                <w:lang w:eastAsia="lt-LT"/>
              </w:rPr>
              <w:t>Iš viso:</w:t>
            </w:r>
          </w:p>
        </w:tc>
        <w:tc>
          <w:tcPr>
            <w:tcW w:w="1398"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jc w:val="center"/>
              <w:rPr>
                <w:szCs w:val="24"/>
                <w:lang w:eastAsia="lt-LT"/>
              </w:rPr>
            </w:pPr>
            <w:r w:rsidRPr="00EF4A3A">
              <w:rPr>
                <w:lang w:eastAsia="lt-LT"/>
              </w:rPr>
              <w:t> </w:t>
            </w:r>
          </w:p>
        </w:tc>
        <w:tc>
          <w:tcPr>
            <w:tcW w:w="1537" w:type="dxa"/>
            <w:tcBorders>
              <w:top w:val="nil"/>
              <w:left w:val="nil"/>
              <w:bottom w:val="single" w:sz="8" w:space="0" w:color="auto"/>
              <w:right w:val="single" w:sz="8" w:space="0" w:color="000000"/>
            </w:tcBorders>
            <w:shd w:val="clear" w:color="auto" w:fill="B8CCE4" w:themeFill="accent1" w:themeFillTint="66"/>
            <w:tcMar>
              <w:top w:w="0" w:type="dxa"/>
              <w:left w:w="108" w:type="dxa"/>
              <w:bottom w:w="0" w:type="dxa"/>
              <w:right w:w="108" w:type="dxa"/>
            </w:tcMar>
            <w:hideMark/>
          </w:tcPr>
          <w:p w:rsidR="00626F2D" w:rsidRPr="00EF4A3A" w:rsidRDefault="00626F2D" w:rsidP="001B2EEF">
            <w:pPr>
              <w:spacing w:before="100" w:beforeAutospacing="1" w:after="100" w:afterAutospacing="1"/>
              <w:contextualSpacing/>
              <w:rPr>
                <w:szCs w:val="24"/>
                <w:lang w:eastAsia="lt-LT"/>
              </w:rPr>
            </w:pPr>
          </w:p>
        </w:tc>
      </w:tr>
    </w:tbl>
    <w:p w:rsidR="00626F2D" w:rsidRDefault="00626F2D">
      <w:pPr>
        <w:jc w:val="both"/>
        <w:rPr>
          <w:b/>
          <w:sz w:val="22"/>
          <w:szCs w:val="22"/>
        </w:rPr>
      </w:pPr>
    </w:p>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21" w:rsidRDefault="007B4C21">
      <w:pPr>
        <w:overflowPunct w:val="0"/>
        <w:jc w:val="both"/>
        <w:textAlignment w:val="baseline"/>
      </w:pPr>
      <w:r>
        <w:separator/>
      </w:r>
    </w:p>
  </w:endnote>
  <w:endnote w:type="continuationSeparator" w:id="0">
    <w:p w:rsidR="007B4C21" w:rsidRDefault="007B4C21">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A0A2B">
    <w:pPr>
      <w:tabs>
        <w:tab w:val="center" w:pos="4153"/>
        <w:tab w:val="right" w:pos="8306"/>
      </w:tabs>
      <w:overflowPunct w:val="0"/>
      <w:jc w:val="right"/>
      <w:textAlignment w:val="baseline"/>
    </w:pPr>
    <w:r>
      <w:t>________________________________________ A. V.</w:t>
    </w:r>
  </w:p>
  <w:p w:rsidR="00822D69" w:rsidRPr="009A0A2B" w:rsidRDefault="00822D69"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rsidP="00916873">
    <w:pPr>
      <w:tabs>
        <w:tab w:val="center" w:pos="4153"/>
        <w:tab w:val="right" w:pos="8306"/>
      </w:tabs>
      <w:overflowPunct w:val="0"/>
      <w:jc w:val="right"/>
      <w:textAlignment w:val="baseline"/>
    </w:pPr>
    <w:r>
      <w:t>________________________________________ A. V.</w:t>
    </w:r>
  </w:p>
  <w:p w:rsidR="00822D69" w:rsidRPr="009A0A2B" w:rsidRDefault="00822D69" w:rsidP="00916873">
    <w:pPr>
      <w:tabs>
        <w:tab w:val="center" w:pos="4153"/>
        <w:tab w:val="right" w:pos="8306"/>
      </w:tabs>
      <w:overflowPunct w:val="0"/>
      <w:jc w:val="right"/>
      <w:textAlignment w:val="baseline"/>
    </w:pPr>
    <w:r>
      <w:t>Pareiškėjo, pareiškėjo vadovo ar įgalioto asmens parašas</w:t>
    </w:r>
  </w:p>
  <w:p w:rsidR="00822D69" w:rsidRDefault="00822D6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21" w:rsidRDefault="007B4C21">
      <w:pPr>
        <w:overflowPunct w:val="0"/>
        <w:jc w:val="both"/>
        <w:textAlignment w:val="baseline"/>
      </w:pPr>
      <w:r>
        <w:separator/>
      </w:r>
    </w:p>
  </w:footnote>
  <w:footnote w:type="continuationSeparator" w:id="0">
    <w:p w:rsidR="007B4C21" w:rsidRDefault="007B4C21">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05C39">
      <w:rPr>
        <w:noProof/>
        <w:sz w:val="22"/>
        <w:szCs w:val="22"/>
        <w:lang w:eastAsia="lt-LT"/>
      </w:rPr>
      <w:t>1</w:t>
    </w:r>
    <w:r>
      <w:rPr>
        <w:sz w:val="22"/>
        <w:szCs w:val="22"/>
        <w:lang w:eastAsia="lt-LT"/>
      </w:rPr>
      <w:fldChar w:fldCharType="end"/>
    </w:r>
  </w:p>
  <w:p w:rsidR="00822D69" w:rsidRDefault="00822D6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69" w:rsidRDefault="00822D69">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1312"/>
    <w:rsid w:val="00073587"/>
    <w:rsid w:val="00090CB9"/>
    <w:rsid w:val="00100515"/>
    <w:rsid w:val="001021BD"/>
    <w:rsid w:val="00113176"/>
    <w:rsid w:val="00143DB4"/>
    <w:rsid w:val="00147770"/>
    <w:rsid w:val="001501A7"/>
    <w:rsid w:val="001D1372"/>
    <w:rsid w:val="001D6584"/>
    <w:rsid w:val="00205C39"/>
    <w:rsid w:val="00233807"/>
    <w:rsid w:val="002A2D57"/>
    <w:rsid w:val="002A6B9F"/>
    <w:rsid w:val="002F03C4"/>
    <w:rsid w:val="00320E55"/>
    <w:rsid w:val="00354A61"/>
    <w:rsid w:val="003A0E51"/>
    <w:rsid w:val="003B5558"/>
    <w:rsid w:val="003D174C"/>
    <w:rsid w:val="0041202B"/>
    <w:rsid w:val="00450585"/>
    <w:rsid w:val="004C5142"/>
    <w:rsid w:val="004C6EFE"/>
    <w:rsid w:val="004E7B93"/>
    <w:rsid w:val="00510EB7"/>
    <w:rsid w:val="005172D0"/>
    <w:rsid w:val="005609A1"/>
    <w:rsid w:val="00621D46"/>
    <w:rsid w:val="00626F2D"/>
    <w:rsid w:val="006530CA"/>
    <w:rsid w:val="00666CEE"/>
    <w:rsid w:val="00670402"/>
    <w:rsid w:val="00696117"/>
    <w:rsid w:val="006B6A61"/>
    <w:rsid w:val="006D6DBA"/>
    <w:rsid w:val="006E3AB1"/>
    <w:rsid w:val="00716075"/>
    <w:rsid w:val="00732A5C"/>
    <w:rsid w:val="0073681F"/>
    <w:rsid w:val="0077593F"/>
    <w:rsid w:val="00780B1B"/>
    <w:rsid w:val="007A3156"/>
    <w:rsid w:val="007B4C21"/>
    <w:rsid w:val="007D13E6"/>
    <w:rsid w:val="007D2F1A"/>
    <w:rsid w:val="00813312"/>
    <w:rsid w:val="008142B5"/>
    <w:rsid w:val="00822D69"/>
    <w:rsid w:val="00825BC5"/>
    <w:rsid w:val="00826EC0"/>
    <w:rsid w:val="00834F58"/>
    <w:rsid w:val="0086152E"/>
    <w:rsid w:val="008620DD"/>
    <w:rsid w:val="00891450"/>
    <w:rsid w:val="00916873"/>
    <w:rsid w:val="0095678C"/>
    <w:rsid w:val="009A0A2B"/>
    <w:rsid w:val="009A66A6"/>
    <w:rsid w:val="00A2046E"/>
    <w:rsid w:val="00A246E6"/>
    <w:rsid w:val="00A70AE1"/>
    <w:rsid w:val="00AA10AA"/>
    <w:rsid w:val="00AA111C"/>
    <w:rsid w:val="00AF7181"/>
    <w:rsid w:val="00AF7F7F"/>
    <w:rsid w:val="00B06D4A"/>
    <w:rsid w:val="00B36DBC"/>
    <w:rsid w:val="00B73563"/>
    <w:rsid w:val="00B8640D"/>
    <w:rsid w:val="00BF1F90"/>
    <w:rsid w:val="00C03D43"/>
    <w:rsid w:val="00C12FE8"/>
    <w:rsid w:val="00C27980"/>
    <w:rsid w:val="00C418B1"/>
    <w:rsid w:val="00C96E66"/>
    <w:rsid w:val="00CA342C"/>
    <w:rsid w:val="00CF66F3"/>
    <w:rsid w:val="00D00B2B"/>
    <w:rsid w:val="00D20263"/>
    <w:rsid w:val="00D53F41"/>
    <w:rsid w:val="00D635F4"/>
    <w:rsid w:val="00DF4C05"/>
    <w:rsid w:val="00E13E94"/>
    <w:rsid w:val="00E15B51"/>
    <w:rsid w:val="00E84FD0"/>
    <w:rsid w:val="00E91F59"/>
    <w:rsid w:val="00E93F81"/>
    <w:rsid w:val="00EA1362"/>
    <w:rsid w:val="00EB3462"/>
    <w:rsid w:val="00ED5196"/>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0751-2856-4B2E-A7E8-9B723E7E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19403</Words>
  <Characters>11061</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30404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2022-09-08T10:35:00Z</dcterms:created>
  <dcterms:modified xsi:type="dcterms:W3CDTF">2022-09-08T10:35:00Z</dcterms:modified>
</cp:coreProperties>
</file>